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Радиационная гигиена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Радиационная гигиена | Записей: 1 | Кейс: 2 | Вопросов: 12</w:t>
      </w:r>
    </w:p>
    <w:p>
      <w:r>
        <w:br w:type="page"/>
      </w:r>
    </w:p>
    <w:p>
      <w:pPr>
        <w:pStyle w:val="Heading1"/>
      </w:pPr>
      <w:r>
        <w:t>Радиационная гигиена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Радиационная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по радиационной гигиене должен провести плановое санитарно-эпидемиологическое обследование пункта пропуска пассажиров на железнодорожном вокзале города Н. В пункте пропуск установлены 3 стационарных рентгеновских досмотровых установки для досмотра багажа «Интроскоп «TE-XS10080» и 1 рентгеновский сканер для персонального досмотра людей «Неоскан B-SCAN 16HR-FB».</w:t>
      </w:r>
    </w:p>
    <w:p>
      <w:pPr>
        <w:pStyle w:val="Heading2"/>
      </w:pPr>
      <w:r>
        <w:t>1. Правовые основы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Основным документом, регламентирующим порядок и сроки проведения проверок деятельности юридических лиц, индивидуальных предпринимателей и граждан по выполнению требований санитарного законодательства,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Федеральный закон от 04.05.2011 N 99-ФЗ «О лицензировании отдельных видов деятельности»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Федеральный закон от 28.12.2008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Федеральный закон от 30.03.1999 N 52-ФЗ «О санитарно-эпидемиологическом благополучии населения»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</w:r>
    </w:p>
    <w:p>
      <w:pPr>
        <w:ind w:left="504"/>
      </w:pPr>
      <w:r>
        <w:rPr>
          <w:b w:val="0"/>
          <w:i/>
        </w:rPr>
        <w:t>1.Настоящее Положение устанавливает порядок организации и осуществления федерального государственного санитарно-эпидемиологического контроля (надзора) (далее - государственный контроль (надзор).</w:t>
        <w:br/>
        <w:br/>
      </w:r>
      <w:hyperlink r:id="rId9">
        <w:r>
          <w:rPr>
            <w:color w:val="0F766E"/>
            <w:u w:val="single"/>
          </w:rPr>
          <w:t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Основным документом, устанавливающим требования и нормы по обеспечению радиационной безопасности персонала и населения при использовании рентгеновских сканеров для персонального досмотра людей,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СанПиН 2.6.1.3106-13 «Гигиенические требования по обеспечению радиационной безопасности при использовании рентгеновских сканеров для персонального досмотра людей»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 2.6.1.2612-10 «Основные санитарные правила обеспечения радиационной безопасности (ОСПОРБ-99/2010)»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СанПиН 2.6.1.2523-2009 «Нормы радиационной безопасности (НРБ-99/2009)»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СанПиН 2.6.4115-25 «Санитарно-эпидемиологические требования в области радиационной безопасности населения при обращении источников ионизирующего излучения»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СанПиН 2.6.4115-25 «Санитарно-эпидемиологические требования в области радиационной безопасности населения при обращении источников ионизирующего излучения»</w:t>
      </w:r>
    </w:p>
    <w:p>
      <w:pPr>
        <w:ind w:left="504"/>
      </w:pPr>
      <w:r>
        <w:rPr>
          <w:b w:val="0"/>
          <w:i/>
        </w:rPr>
        <w:t>.7. Действие главы VIII Правил распространяется на обращение с РСЧ, в том числе с:</w:t>
        <w:br/>
        <w:t>установками, сканирующими человека узким веерным пучком рентгеновского излучения с регистрацией излучения, прошедшего через тело человека (далее - РСЧ 1 типа);</w:t>
        <w:br/>
        <w:t>установками, осуществляющими двумерное сканирование человека игольчатым пучком рентгеновского излучения с регистрацией отраженного от него излучения (далее - РСЧ 2 типа).</w:t>
        <w:br/>
        <w:br/>
      </w:r>
      <w:hyperlink r:id="rId11">
        <w:r>
          <w:rPr>
            <w:color w:val="0F766E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Основным документом, определяющим санитарно-эпидемиологические требования по обеспечению радиационной безопасности персонала при досмотре багажа и товаров рентгеновской установкой,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 2.6.1.2612-2010 «Основные санитарные правила обеспечения радиационной безопасности (ОСПОРБ-99/2010)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СанПиН 2.6.1.2523-2009 «Нормы радиационной безопасности (НРБ-99/2009)»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СанПиН 2.6.1.3106-13 «Гигиенические требования по обеспечению радиационной безопасности при использовании рентгеновских сканеров для персонального досмотра людей»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СанПиН 2.6.4115-25 «Санитарно-эпидемиологические требования в области радиационной безопасности населения при обращении источников ионизирующего излучения»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СанПиН 2.6.4115-25 «Санитарно-эпидемиологические требования в области радиационной безопасности населения при обращении источников ионизирующего излучения»</w:t>
      </w:r>
    </w:p>
    <w:p>
      <w:pPr>
        <w:ind w:left="504"/>
      </w:pPr>
      <w:r>
        <w:rPr>
          <w:b w:val="0"/>
          <w:i/>
        </w:rPr>
        <w:t>.5. Требования главы V Правил распространяются на проектирование, конструирование, изготовление, реализацию, испытания, размещение, монтаж, эксплуатацию, радиационный контроль, техническое обслуживание (в том числе ремонт и наладку), транспортирование и хранение лучевых досмотровых установок (далее - ЛДУ), а также рентгеновских установок для досмотра багажа и товаров (далее - РУДБТ) с движущимся объектом контроля (далее РУДБТ 1 типа) и с неподвижным объектом контроля (далее - РУДБТ 2 типа).</w:t>
        <w:br/>
        <w:br/>
        <w:t>{nbsp}</w:t>
        <w:br/>
        <w:br/>
      </w:r>
      <w:hyperlink r:id="rId11">
        <w:r>
          <w:rPr>
            <w:color w:val="0F766E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Результаты индивидуальных доз облучения персонала группы А, работающего с рентгеновскими сканерами для персонального досмотра людей, должны храниться на предприятии в течение +______+ лет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</w:t>
      </w:r>
    </w:p>
    <w:p>
      <w:pPr>
        <w:ind w:left="504"/>
      </w:pPr>
      <w:r>
        <w:rPr>
          <w:b w:val="0"/>
          <w:i/>
        </w:rPr>
        <w:t>3.13.6. Результаты индивидуального контроля доз облучения персонала должны храниться в течение 50 лет. При проведении индивидуального контроля необходимо вести учет годовых эффективной и эквивалентных доз, эффективной дозы за 5 последовательных лет, а также суммарной накопленной дозы за весь период профессиональной работы.</w:t>
        <w:br/>
        <w:br/>
      </w:r>
      <w:hyperlink r:id="rId14">
        <w:r>
          <w:rPr>
            <w:color w:val="0F766E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Методика исследования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Включение рентгеновских сканеров для персонального досмотра людей должно сопровождаться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блокировкой двери, ведущей в помещение со сканером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включением видеонаблюдения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включением переговорного устройства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звуковой или/и световой сигнализацией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звуковой или/и световой сигнализацией</w:t>
      </w:r>
    </w:p>
    <w:p>
      <w:pPr>
        <w:ind w:left="504"/>
      </w:pPr>
      <w:r>
        <w:rPr>
          <w:b w:val="0"/>
          <w:i/>
        </w:rPr>
        <w:t>.145. Допускается обращение РСЧ, соответствующего следующим требованиям:</w:t>
        <w:br/>
        <w:t>наличие звуковой и (или) световой сигнализации, позволяющих определить включение или выключение генерации рентгеновского излучения;</w:t>
        <w:br/>
        <w:br/>
      </w:r>
      <w:hyperlink r:id="rId11">
        <w:r>
          <w:rPr>
            <w:color w:val="0F766E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защиты от рентгеновского излучения вход и выход из досмотровой камеры рентгеновских установок для досмотра багажа и товаров 1 типа должны перекрываться эластичными защитными шторками (дверцами), обеспечивая ослабление мощности амбиентного эквивалента дозы рентгеновского излучения на расстоянии 0,1 м от поверхности установки при закрытых шторках (дверцах) до уровня не более +_________+ мкЗв/час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2,8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5,0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2,5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2,5</w:t>
      </w:r>
    </w:p>
    <w:p>
      <w:pPr>
        <w:ind w:left="504"/>
      </w:pPr>
      <w:r>
        <w:rPr>
          <w:b w:val="0"/>
          <w:i/>
        </w:rPr>
        <w:t>.97. Вход и выход из досмотровой камеры РУДБТ 1 типа должны перекрываться эластичными защитными шторками (дверцами), МАЭД рентгеновского излучения на расстоянии 0,1 м от поверхности которых при закрытых шторках (дверцах) не должна превышать 2,5 мкЗв/ч.</w:t>
        <w:br/>
        <w:br/>
        <w:t>{nbsp}</w:t>
        <w:br/>
        <w:br/>
      </w:r>
      <w:hyperlink r:id="rId11">
        <w:r>
          <w:rPr>
            <w:color w:val="0F766E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Измерение мощности амбиентного эквивалента дозы рентгеновского излучения на расстоянии 0,1 м от внешней поверхности рентгеновского сканера для персонального досмотра людей, производится на четырёх высотах: +______________________+ м над полом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0,5; 1,0; 1,5; 2,0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0,3; 1,8; 1,7; 2,0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0,1; 0,6; 1,6; 2,0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0,1; 0,8; 1,8; 2,0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0,5; 1,0; 1,5; 2,0</w:t>
      </w:r>
    </w:p>
    <w:p>
      <w:pPr>
        <w:ind w:left="504"/>
      </w:pPr>
      <w:r>
        <w:rPr>
          <w:b w:val="0"/>
          <w:i/>
        </w:rPr>
        <w:t>.146. Для обеспечения радиационной безопасности при эксплуатации РСЧ эксплуатирующая организация должна проводить радиационный контроль, предусматривающий измерение следующих параметров за одно сканирование:</w:t>
        <w:br/>
        <w:br/>
        <w:t>абонентный эквивалент дозы рентгеновского излучения на расстоянии 0,1 м от внешней поверхности РСЧ или защитного ограждения вокруг РСЧ с шагом не более 1,0 м на четырёх высотах 0,5 м, 1,0 м, 1,5 м и 2,0 м от пола - 1 раз в год, а также каждый раз после ремонта РСЧ, замены рентгеновской трубки или элементов радиационной защиты +</w:t>
        <w:br/>
        <w:br/>
        <w:t>{nbsp}</w:t>
        <w:br/>
        <w:br/>
      </w:r>
      <w:hyperlink r:id="rId11">
        <w:r>
          <w:rPr>
            <w:color w:val="0F766E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Мощность амбиентного эквивалента дозы рентгеновского излучения от стационарных рентгеновских установок для досмотра багажа и товаров должна измеряться на расстоянии _____ см от внешней поверхности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.100. При радиационном контроле, указанном в пункте 99 Правил, должны осуществляться: контроль МАЭД рентгеновского излучения на расстоянии 0,1 м от наружной поверхности установки +</w:t>
        <w:br/>
        <w:br/>
        <w:t>{nbsp}</w:t>
        <w:br/>
        <w:br/>
      </w:r>
      <w:hyperlink r:id="rId11">
        <w:r>
          <w:rPr>
            <w:color w:val="0F766E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Оценка результатов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Мощность амбиентного эквивалента дозы рентгеновского излучения на постоянных рабочих местах лиц, не отнесенных к персоналу группы А или Б, при работе от стационарных рентгеновских установок для досмотра багажа и товаров не должна превышать +______+ мкЗв/ч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1,8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2,5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0,5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0,5</w:t>
      </w:r>
    </w:p>
    <w:p>
      <w:pPr>
        <w:ind w:left="504"/>
      </w:pPr>
      <w:r>
        <w:rPr>
          <w:b w:val="0"/>
          <w:i/>
        </w:rPr>
        <w:t>.98. МАЭД рентгеновского излучения на постоянных рабочих местах с РУДБТ лиц, не отнесенных к персоналу группы А или Б, не должна превышать 0,5 мкЗв/ч.</w:t>
        <w:br/>
        <w:br/>
        <w:t>{nbsp}</w:t>
        <w:br/>
        <w:br/>
      </w:r>
      <w:hyperlink r:id="rId11">
        <w:r>
          <w:rPr>
            <w:color w:val="0F766E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Контроль мощности амбиентного эквивалента дозы рентгеновского излучения на наружной поверхности от стационарных рентгеновских установок для досмотра багажа и товаров проводится _____ после ввода установки в эксплуатацию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раза в год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раз в 5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раз в 2 года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 раз в год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раз в год</w:t>
      </w:r>
    </w:p>
    <w:p>
      <w:pPr>
        <w:ind w:left="504"/>
      </w:pPr>
      <w:r>
        <w:rPr>
          <w:b w:val="0"/>
          <w:i/>
        </w:rPr>
        <w:t>.99. Эксплуатирующая организация, осуществляющая работы с использованием РУДБТ, должна проводить радиационный контроль 1 раз в год, после ввода РУДБТ в эксплуатацию и каждый раз после проведения ремонтных работ РУДБТ.</w:t>
        <w:br/>
        <w:br/>
        <w:t>{nbsp}</w:t>
        <w:br/>
        <w:br/>
        <w:t>.100. При радиационном контроле, указанном в пункте 99 Правил, должны осуществляться:</w:t>
        <w:br/>
        <w:t>контроль МАЭД рентгеновского излучения на расстоянии 0,1 м от наружной поверхности установки;</w:t>
        <w:br/>
        <w:t>контроль МАЭД рентгеновского излучения на постоянных рабочих местах лиц, не отнесенных к персоналу группы А или Б, расположенных на расстоянии менее 2 м от РУДБТ.</w:t>
        <w:br/>
        <w:br/>
      </w:r>
      <w:hyperlink r:id="rId11">
        <w:r>
          <w:rPr>
            <w:color w:val="0F766E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Персонал группы А должен проходить периодические медицинские осмотры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 года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 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</w:t>
      </w:r>
    </w:p>
    <w:p>
      <w:pPr>
        <w:ind w:left="504"/>
      </w:pPr>
      <w:r>
        <w:rPr>
          <w:b w:val="0"/>
          <w:i/>
        </w:rPr>
        <w:t>Приложение № 1</w:t>
        <w:br/>
        <w:br/>
        <w:t xml:space="preserve"> a| № п/п a| Наименование вредных и (или) опасных производственных факторов a| Периодичность осмотров</w:t>
        <w:br/>
        <w:br/>
        <w:t xml:space="preserve"> a| 4.1. a| Ионизирующие излучения, радиоактивные вещества и другие источники ионизирующих излучений a| 1 раз в год</w:t>
        <w:br/>
        <w:br/>
        <w:t>{nbsp}</w:t>
        <w:br/>
        <w:br/>
      </w:r>
      <w:hyperlink r:id="rId22">
        <w:r>
          <w:rPr>
            <w:color w:val="0F766E"/>
            <w:u w:val="single"/>
          </w:rPr>
          <w:t>Приказ Минздрава России от 28.01.2021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 (02.10.2024 г.)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Не менее +________+ учебных часов обучения основам радиационной безопасности при работе с источниками ионизирующего излучения должен пройти персонал предприятия для работы на рентгеновских сканерах для персонального досмотра людей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144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108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72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72</w:t>
      </w:r>
    </w:p>
    <w:p>
      <w:pPr>
        <w:ind w:left="504"/>
      </w:pPr>
      <w:r>
        <w:rPr>
          <w:b w:val="0"/>
          <w:i/>
        </w:rPr>
        <w:t>{nbsp}</w:t>
        <w:br/>
        <w:t>4. Лицензионными требованиями, предъявляемыми к соискателю лицензии (лицензиату) при осуществлении лицензируемой деятельности, являются: …</w:t>
        <w:br/>
        <w:br/>
        <w:t>г) наличие в штате соискателя лицензии (лицензиата) работников, деятельность которых непосредственно связана с источниками ионизирующего излучения (генерирующими), имеющих высшее образование или среднее профессиональное образование и дополнительное профессиональное образование по программам повышения квалификации в объеме не менее 72 часов по радиационной безопасности, соответствующие требованиям и характеру заявленных работ (услуг);</w:t>
        <w:br/>
        <w:br/>
      </w:r>
      <w:hyperlink r:id="rId24">
        <w:r>
          <w:rPr>
            <w:color w:val="0F766E"/>
            <w:u w:val="single"/>
          </w:rPr>
          <w:t>Постановление Правительства РФ от 25 января 2022 г. N 45 "О лицензировании деятельности в области использования источников ионизирующего излучения (генерирующих) (за исключением случая, если эти источники используются в медицинской деятельности)"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ost1100/" TargetMode="External"/><Relationship Id="rId10" Type="http://schemas.openxmlformats.org/officeDocument/2006/relationships/hyperlink" Target="https://library.mededtech.ru/rest/documents/post1100/#list_item_tbfueq" TargetMode="External"/><Relationship Id="rId11" Type="http://schemas.openxmlformats.org/officeDocument/2006/relationships/hyperlink" Target="https://library.mededtech.ru/rest/documents/sp2_6_4115_25/" TargetMode="External"/><Relationship Id="rId12" Type="http://schemas.openxmlformats.org/officeDocument/2006/relationships/hyperlink" Target="https://library.mededtech.ru/rest/documents/sp2_6_4115_25/#list_item_uhrddb" TargetMode="External"/><Relationship Id="rId13" Type="http://schemas.openxmlformats.org/officeDocument/2006/relationships/hyperlink" Target="https://library.mededtech.ru/rest/documents/sp2_6_4115_25/#list_item_agfs74" TargetMode="External"/><Relationship Id="rId14" Type="http://schemas.openxmlformats.org/officeDocument/2006/relationships/hyperlink" Target="https://library.mededtech.ru/rest/documents/sp.2.6.1.2612_10/" TargetMode="External"/><Relationship Id="rId15" Type="http://schemas.openxmlformats.org/officeDocument/2006/relationships/hyperlink" Target="https://library.mededtech.ru/rest/documents/sp.2.6.1.2612_10/#paragraph_u149ct" TargetMode="External"/><Relationship Id="rId16" Type="http://schemas.openxmlformats.org/officeDocument/2006/relationships/hyperlink" Target="https://library.mededtech.ru/rest/documents/sp2_6_4115_25/#list_item_jrms1e" TargetMode="External"/><Relationship Id="rId17" Type="http://schemas.openxmlformats.org/officeDocument/2006/relationships/hyperlink" Target="https://library.mededtech.ru/rest/documents/sp2_6_4115_25/#list_item_n4bhr9" TargetMode="External"/><Relationship Id="rId18" Type="http://schemas.openxmlformats.org/officeDocument/2006/relationships/hyperlink" Target="https://library.mededtech.ru/rest/documents/sp2_6_4115_25/#list_item_qbqf9b" TargetMode="External"/><Relationship Id="rId19" Type="http://schemas.openxmlformats.org/officeDocument/2006/relationships/hyperlink" Target="https://library.mededtech.ru/rest/documents/sp2_6_4115_25/#list_item_fmm1h7" TargetMode="External"/><Relationship Id="rId20" Type="http://schemas.openxmlformats.org/officeDocument/2006/relationships/hyperlink" Target="https://library.mededtech.ru/rest/documents/sp2_6_4115_25/#list_item_kncn42" TargetMode="External"/><Relationship Id="rId21" Type="http://schemas.openxmlformats.org/officeDocument/2006/relationships/hyperlink" Target="https://library.mededtech.ru/rest/documents/sp2_6_4115_25/#list_item_aph134" TargetMode="External"/><Relationship Id="rId22" Type="http://schemas.openxmlformats.org/officeDocument/2006/relationships/hyperlink" Target="https://library.mededtech.ru/rest/documents/priazN29_021024/" TargetMode="External"/><Relationship Id="rId23" Type="http://schemas.openxmlformats.org/officeDocument/2006/relationships/hyperlink" Target="https://library.mededtech.ru/rest/documents/priazN29_021024/#:~:text=4.1,%D0%B8%20%D1%89%D0%B8%D1%82%D0%BE%D0%B2%D0%B8%D0%B4%D0%BD%D0%BE%D0%B9%20%D0%B6%D0%B5%D0%BB%D0%B5%D0%B7%D1%8B" TargetMode="External"/><Relationship Id="rId24" Type="http://schemas.openxmlformats.org/officeDocument/2006/relationships/hyperlink" Target="https://library.mededtech.ru/rest/documents/post45/" TargetMode="External"/><Relationship Id="rId25" Type="http://schemas.openxmlformats.org/officeDocument/2006/relationships/hyperlink" Target="https://library.mededtech.ru/rest/documents/post45/#list_item_96378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